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2021 13 vom 17. Dezember 2021</w:t>
      </w:r>
    </w:p>
    <w:p>
      <w:r>
        <w:t>SZ Gerichte, 2021-12-17, DE</w:t>
      </w:r>
    </w:p>
    <w:p>
      <w:r>
        <w:rPr>
          <w:b/>
        </w:rPr>
        <w:t xml:space="preserve">Quelle: </w:t>
      </w:r>
      <w:r>
        <w:t>https://mcp.opencaselaw.ch/entscheid/sz_gerichte_ZK2 2021 13</w:t>
      </w:r>
    </w:p>
    <w:p>
      <w:r>
        <w:t>FR: SZ_GERICHTE ZK2 2021 13 du 17 décembre 2021</w:t>
      </w:r>
    </w:p>
    <w:p>
      <w:r>
        <w:t>IT: SZ_GERICHTE ZK2 2021 13 del 17 dicembre 2021</w:t>
      </w:r>
    </w:p>
    <w:p>
      <w:pPr>
        <w:pStyle w:val="Heading2"/>
      </w:pPr>
      <w:r>
        <w:t>Regeste</w:t>
      </w:r>
    </w:p>
    <w:p>
      <w:r>
        <w:t>Anfechtung Kündigung | Diverses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</w:t>
      </w:r>
    </w:p>
    <w:p>
      <w:r>
        <w:rPr>
          <w:b/>
        </w:rPr>
        <w:t>E. 2</w:t>
      </w:r>
    </w:p>
    <w:p>
      <w:r>
        <w:t>D.________, Beschwerdegegner, beide vertreten durch Rechtsanwalt E.________, \n \n \n \n \n \n \n \n \n \n betreffend \n Anfechtung Kündigung \n \n \n \n (Beschwerde gegen den Beschluss der Schlichtungsbehörde in Mietsachen des Bezirks Küssnacht vom 3. Dezember 2020, Schli Be Nr. 17/2020);- \n \n \n hat die Kantonsgerichtsvizepräsidentin, \n \n nachdem sich ergeben und in Erwägung: \n 1. A.________ gelangte am 18. September 2020 gegen C.________ an die Schlichtungsbehörde in Mietsachen des Bezirks Küssnacht und focht die Kündigung vom 27. August 2020 betreffend Wohnhaus „F.________“ als ungültig und missbräuchlich an (Vi-act. 1). C.________ und D.________ erklärten mit Eingabe vom 16. Oktober 2020, sie seien hälftige Miteigentümer der Liegenschaft GS Nr. zz in Küssnacht am Rigi (G.________ yy), und beantragten, es sei auf das Schlichtungsgesuch nicht einzutreten, unter Kosten- und Entschädigungsfolgen zulasten des Gesuchstellers (Vi-act. 4, Ziff. A und Ziff. B.3). Zur Begründung führten sie im Wesentlichen aus, es handle sich vorliegend nicht um ein Mietverhältnis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